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557"/>
        <w:gridCol w:w="10"/>
        <w:gridCol w:w="4801"/>
        <w:gridCol w:w="10"/>
        <w:gridCol w:w="5235"/>
        <w:gridCol w:w="10"/>
        <w:gridCol w:w="150"/>
        <w:gridCol w:w="10"/>
      </w:tblGrid>
      <w:tr w:rsidR="00DF38CB" w:rsidRPr="00542777" w14:paraId="0A3C654B" w14:textId="77777777" w:rsidTr="004674B1">
        <w:trPr>
          <w:gridAfter w:val="3"/>
          <w:wAfter w:w="170" w:type="dxa"/>
          <w:trHeight w:val="450"/>
        </w:trPr>
        <w:tc>
          <w:tcPr>
            <w:tcW w:w="106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500C96F" w14:textId="77777777" w:rsidR="00DF38CB" w:rsidRPr="00542777" w:rsidRDefault="00DF38CB" w:rsidP="004674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 xml:space="preserve">Charakteristika predkladaného výstupu tvorivej činnosti / </w:t>
            </w:r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br/>
            </w:r>
            <w:proofErr w:type="spellStart"/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>Characteristics</w:t>
            </w:r>
            <w:proofErr w:type="spellEnd"/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 xml:space="preserve"> of </w:t>
            </w:r>
            <w:proofErr w:type="spellStart"/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>submitted</w:t>
            </w:r>
            <w:proofErr w:type="spellEnd"/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>research</w:t>
            </w:r>
            <w:proofErr w:type="spellEnd"/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 xml:space="preserve">/ </w:t>
            </w:r>
            <w:proofErr w:type="spellStart"/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>artistic</w:t>
            </w:r>
            <w:proofErr w:type="spellEnd"/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>/</w:t>
            </w:r>
            <w:proofErr w:type="spellStart"/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>other</w:t>
            </w:r>
            <w:proofErr w:type="spellEnd"/>
            <w:r w:rsidRPr="00542777"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  <w:t xml:space="preserve"> output</w:t>
            </w:r>
          </w:p>
        </w:tc>
      </w:tr>
      <w:tr w:rsidR="00DF38CB" w:rsidRPr="00542777" w14:paraId="70FE05FD" w14:textId="77777777" w:rsidTr="004674B1">
        <w:trPr>
          <w:gridAfter w:val="1"/>
          <w:wAfter w:w="10" w:type="dxa"/>
          <w:trHeight w:val="450"/>
        </w:trPr>
        <w:tc>
          <w:tcPr>
            <w:tcW w:w="106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6AA0A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61985" w14:textId="77777777" w:rsidR="00DF38CB" w:rsidRPr="00542777" w:rsidRDefault="00DF38CB" w:rsidP="004674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 w:themeColor="text1"/>
                <w:lang w:eastAsia="sk-SK"/>
              </w:rPr>
            </w:pPr>
          </w:p>
        </w:tc>
      </w:tr>
      <w:tr w:rsidR="00DF38CB" w:rsidRPr="00542777" w14:paraId="04FBD341" w14:textId="77777777" w:rsidTr="004674B1">
        <w:trPr>
          <w:gridAfter w:val="1"/>
          <w:wAfter w:w="10" w:type="dxa"/>
          <w:trHeight w:val="6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38B2B8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2D27C5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5B6BC3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0741DE5A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440E928D" w14:textId="77777777" w:rsidTr="004674B1">
        <w:trPr>
          <w:gridAfter w:val="1"/>
          <w:wAfter w:w="10" w:type="dxa"/>
          <w:trHeight w:val="375"/>
        </w:trPr>
        <w:tc>
          <w:tcPr>
            <w:tcW w:w="106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40CB3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form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used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submit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according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Methodology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Standards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Evaluation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gridSpan w:val="2"/>
            <w:vAlign w:val="center"/>
          </w:tcPr>
          <w:p w14:paraId="06C80FB0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5B216C98" w14:textId="77777777" w:rsidTr="004674B1">
        <w:trPr>
          <w:gridAfter w:val="1"/>
          <w:wAfter w:w="10" w:type="dxa"/>
          <w:trHeight w:val="375"/>
        </w:trPr>
        <w:tc>
          <w:tcPr>
            <w:tcW w:w="106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90D3A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1D5A64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</w:pPr>
          </w:p>
        </w:tc>
      </w:tr>
      <w:tr w:rsidR="00DF38CB" w:rsidRPr="00542777" w14:paraId="40A06B3E" w14:textId="77777777" w:rsidTr="004674B1">
        <w:trPr>
          <w:gridAfter w:val="1"/>
          <w:wAfter w:w="10" w:type="dxa"/>
          <w:trHeight w:val="90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FDAE3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CFDE0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F431D2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20282F04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4E5D0336" w14:textId="77777777" w:rsidTr="004674B1">
        <w:trPr>
          <w:gridAfter w:val="1"/>
          <w:wAfter w:w="10" w:type="dxa"/>
          <w:trHeight w:val="34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F0B9A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EAD0A3B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: 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gridSpan w:val="2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F6E59DF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gridSpan w:val="2"/>
            <w:vAlign w:val="center"/>
          </w:tcPr>
          <w:p w14:paraId="177A6AB9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5018CD32" w14:textId="77777777" w:rsidTr="004674B1">
        <w:trPr>
          <w:gridAfter w:val="1"/>
          <w:wAfter w:w="10" w:type="dxa"/>
          <w:trHeight w:val="34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11DCF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gridSpan w:val="2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7FF17D50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fldChar w:fldCharType="begin"/>
            </w: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fldChar w:fldCharType="separate"/>
            </w: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Kód VTC/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Code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output (RAOO):</w:t>
            </w: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vertAlign w:val="superscript"/>
                <w:lang w:eastAsia="sk-SK"/>
              </w:rPr>
              <w:t>1</w:t>
            </w: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E617493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gridSpan w:val="2"/>
            <w:vAlign w:val="center"/>
          </w:tcPr>
          <w:p w14:paraId="2BC217D3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3BBE5496" w14:textId="77777777" w:rsidTr="004674B1">
        <w:trPr>
          <w:gridAfter w:val="1"/>
          <w:wAfter w:w="10" w:type="dxa"/>
          <w:trHeight w:val="405"/>
        </w:trPr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84E54F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DE1FD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B37C07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53A9FF92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0D3C28A3" w14:textId="77777777" w:rsidTr="004674B1">
        <w:trPr>
          <w:gridAfter w:val="1"/>
          <w:wAfter w:w="10" w:type="dxa"/>
          <w:trHeight w:val="51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FBFE273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5F1517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Mrázová</w:t>
            </w:r>
          </w:p>
        </w:tc>
        <w:tc>
          <w:tcPr>
            <w:tcW w:w="160" w:type="dxa"/>
            <w:gridSpan w:val="2"/>
            <w:vAlign w:val="center"/>
          </w:tcPr>
          <w:p w14:paraId="0DB8FFDB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35335800" w14:textId="77777777" w:rsidTr="004674B1">
        <w:trPr>
          <w:gridAfter w:val="1"/>
          <w:wAfter w:w="10" w:type="dxa"/>
          <w:trHeight w:val="315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7EFB1E8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Name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88F011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val="en-US"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val="en-US" w:eastAsia="sk-SK"/>
              </w:rPr>
              <w:t>Mariana</w:t>
            </w:r>
          </w:p>
        </w:tc>
        <w:tc>
          <w:tcPr>
            <w:tcW w:w="160" w:type="dxa"/>
            <w:gridSpan w:val="2"/>
            <w:vAlign w:val="center"/>
          </w:tcPr>
          <w:p w14:paraId="1D6E8D67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47AFB878" w14:textId="77777777" w:rsidTr="004674B1">
        <w:trPr>
          <w:gridAfter w:val="1"/>
          <w:wAfter w:w="10" w:type="dxa"/>
          <w:trHeight w:val="559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DC3B897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person 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8D425D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prof. MUDr. Mgr. PhD, MHA.</w:t>
            </w:r>
          </w:p>
        </w:tc>
        <w:tc>
          <w:tcPr>
            <w:tcW w:w="160" w:type="dxa"/>
            <w:gridSpan w:val="2"/>
            <w:vAlign w:val="center"/>
          </w:tcPr>
          <w:p w14:paraId="4E37A487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739F19F4" w14:textId="77777777" w:rsidTr="004674B1">
        <w:trPr>
          <w:gridAfter w:val="1"/>
          <w:wAfter w:w="10" w:type="dxa"/>
          <w:trHeight w:val="66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449CE0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entry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staff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430994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https://www.portalvs.sk/regzam/detail/12356</w:t>
            </w:r>
          </w:p>
        </w:tc>
        <w:tc>
          <w:tcPr>
            <w:tcW w:w="160" w:type="dxa"/>
            <w:gridSpan w:val="2"/>
            <w:vAlign w:val="center"/>
          </w:tcPr>
          <w:p w14:paraId="70D34230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64E3458F" w14:textId="77777777" w:rsidTr="004674B1">
        <w:trPr>
          <w:gridAfter w:val="1"/>
          <w:wAfter w:w="10" w:type="dxa"/>
          <w:trHeight w:val="30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9B3A2D9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Area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7B2664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Verejné zdravotníctvo I., II. a III.</w:t>
            </w:r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Public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Health  I . II. and III.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Degree</w:t>
            </w:r>
            <w:proofErr w:type="spellEnd"/>
          </w:p>
          <w:p w14:paraId="7E7C8FB5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0BA21A9A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1F3BCD85" w14:textId="77777777" w:rsidTr="004674B1">
        <w:trPr>
          <w:gridAfter w:val="1"/>
          <w:wAfter w:w="10" w:type="dxa"/>
          <w:trHeight w:val="972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F060F4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10" w:anchor="Expl.OCA6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B3D050" w14:textId="77777777" w:rsidR="00DF38CB" w:rsidRDefault="00DF38CB" w:rsidP="004674B1">
            <w:pPr>
              <w:spacing w:after="0" w:line="240" w:lineRule="auto"/>
              <w:rPr>
                <w:rFonts w:eastAsia="Liberation Serif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eastAsia="Liberation Serif" w:cstheme="minorHAnsi"/>
                <w:color w:val="000000" w:themeColor="text1"/>
                <w:sz w:val="16"/>
                <w:szCs w:val="16"/>
                <w:lang w:eastAsia="sk-SK"/>
              </w:rPr>
              <w:t>A+, V3  Vedecký výstup /</w:t>
            </w:r>
            <w:r w:rsidRPr="00542777">
              <w:rPr>
                <w:rFonts w:eastAsia="Liberation Serif" w:cstheme="minorHAnsi"/>
                <w:color w:val="000000" w:themeColor="text1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542777">
              <w:rPr>
                <w:rFonts w:eastAsia="Liberation Serif" w:cstheme="minorHAnsi"/>
                <w:color w:val="000000" w:themeColor="text1"/>
                <w:sz w:val="16"/>
                <w:szCs w:val="16"/>
                <w:lang w:eastAsia="sk-SK"/>
              </w:rPr>
              <w:t>scientific</w:t>
            </w:r>
            <w:proofErr w:type="spellEnd"/>
            <w:r w:rsidRPr="00542777">
              <w:rPr>
                <w:rFonts w:eastAsia="Liberation Serif" w:cstheme="minorHAnsi"/>
                <w:color w:val="000000" w:themeColor="text1"/>
                <w:sz w:val="16"/>
                <w:szCs w:val="16"/>
                <w:lang w:eastAsia="sk-SK"/>
              </w:rPr>
              <w:t xml:space="preserve"> output  </w:t>
            </w:r>
          </w:p>
          <w:p w14:paraId="066CC0F5" w14:textId="77777777" w:rsidR="008E2A69" w:rsidRDefault="008E2A69" w:rsidP="004674B1">
            <w:pPr>
              <w:spacing w:after="0" w:line="240" w:lineRule="auto"/>
              <w:rPr>
                <w:rFonts w:eastAsia="Liberation Serif" w:cstheme="minorHAnsi"/>
                <w:color w:val="000000" w:themeColor="text1"/>
                <w:sz w:val="16"/>
                <w:szCs w:val="16"/>
                <w:lang w:eastAsia="sk-SK"/>
              </w:rPr>
            </w:pPr>
          </w:p>
          <w:p w14:paraId="09C460F6" w14:textId="76B851E1" w:rsidR="008E2A69" w:rsidRPr="00542777" w:rsidRDefault="008E2A69" w:rsidP="004674B1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eastAsia="Liberation Serif" w:cstheme="minorHAnsi"/>
                <w:color w:val="000000" w:themeColor="text1"/>
                <w:sz w:val="16"/>
                <w:szCs w:val="16"/>
                <w:lang w:eastAsia="sk-SK"/>
              </w:rPr>
              <w:t>IF 7,8 - 2022</w:t>
            </w:r>
          </w:p>
        </w:tc>
        <w:tc>
          <w:tcPr>
            <w:tcW w:w="160" w:type="dxa"/>
            <w:gridSpan w:val="2"/>
            <w:vAlign w:val="center"/>
          </w:tcPr>
          <w:p w14:paraId="4DC87BA2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5720AF93" w14:textId="77777777" w:rsidTr="004674B1">
        <w:trPr>
          <w:gridAfter w:val="1"/>
          <w:wAfter w:w="10" w:type="dxa"/>
          <w:trHeight w:val="51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4482EB9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Year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publication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artistic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354D04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val="en-US"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val="en-US" w:eastAsia="sk-SK"/>
              </w:rPr>
              <w:t>2022</w:t>
            </w:r>
          </w:p>
        </w:tc>
        <w:tc>
          <w:tcPr>
            <w:tcW w:w="160" w:type="dxa"/>
            <w:gridSpan w:val="2"/>
            <w:vAlign w:val="center"/>
          </w:tcPr>
          <w:p w14:paraId="47D87C2D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718989F8" w14:textId="77777777" w:rsidTr="004674B1">
        <w:trPr>
          <w:gridAfter w:val="1"/>
          <w:wAfter w:w="10" w:type="dxa"/>
          <w:trHeight w:val="66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BFC8374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(ak je)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(CRAA) 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4BC5F1" w14:textId="1FF4A944" w:rsidR="00DF38CB" w:rsidRPr="00542777" w:rsidRDefault="00DF38CB" w:rsidP="004674B1">
            <w:pPr>
              <w:spacing w:after="0" w:line="240" w:lineRule="auto"/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</w:pPr>
            <w:r w:rsidRPr="0088078F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ID = 1009</w:t>
            </w:r>
            <w:r w:rsidR="008E2A69">
              <w:rPr>
                <w:rFonts w:eastAsia="Times New Roman" w:cstheme="minorHAnsi"/>
                <w:color w:val="000000" w:themeColor="text1"/>
                <w:sz w:val="16"/>
                <w:szCs w:val="16"/>
                <w:lang w:eastAsia="sk-SK"/>
              </w:rPr>
              <w:t>932</w:t>
            </w:r>
          </w:p>
        </w:tc>
        <w:tc>
          <w:tcPr>
            <w:tcW w:w="160" w:type="dxa"/>
            <w:gridSpan w:val="2"/>
            <w:vAlign w:val="center"/>
          </w:tcPr>
          <w:p w14:paraId="12F58F5C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4DB508DB" w14:textId="77777777" w:rsidTr="004674B1">
        <w:trPr>
          <w:gridBefore w:val="1"/>
          <w:wBefore w:w="10" w:type="dxa"/>
          <w:trHeight w:val="525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47EEF39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in CRPA or CRAA 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9CE165" w14:textId="3A4DE2F1" w:rsidR="00DF38CB" w:rsidRPr="00542777" w:rsidRDefault="008E2A69" w:rsidP="00DF38CB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https://app.crepc.sk/?fn=detailBiblioFormChildGG5SA&amp;sid=1A965244A0E4343C731DFD7AD83C&amp;seo=CREP%C4%8C-detail-%C4%8Cl%C3%A1nok</w:t>
            </w:r>
          </w:p>
        </w:tc>
        <w:tc>
          <w:tcPr>
            <w:tcW w:w="160" w:type="dxa"/>
            <w:gridSpan w:val="2"/>
            <w:vAlign w:val="center"/>
          </w:tcPr>
          <w:p w14:paraId="7C7FCBA9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0757662F" w14:textId="77777777" w:rsidTr="004674B1">
        <w:trPr>
          <w:gridBefore w:val="1"/>
          <w:wBefore w:w="10" w:type="dxa"/>
          <w:trHeight w:val="1065"/>
        </w:trPr>
        <w:tc>
          <w:tcPr>
            <w:tcW w:w="56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5219A24" w14:textId="77777777" w:rsidR="00DF38CB" w:rsidRPr="00542777" w:rsidRDefault="00DF38CB" w:rsidP="004674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registered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5233616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record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3B01A5" w14:textId="34B686DA" w:rsidR="00DF38CB" w:rsidRDefault="008E2A69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14" w:history="1">
              <w:r w:rsidRPr="00DE7381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https://www.ncbi.nlm.nih.gov/pmc/articles/PMC9864312/pdf/jcm-12-00628.pdf</w:t>
              </w:r>
            </w:hyperlink>
          </w:p>
          <w:p w14:paraId="5A2E1677" w14:textId="77777777" w:rsidR="008E2A69" w:rsidRDefault="008E2A69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  <w:p w14:paraId="12DED01F" w14:textId="24230335" w:rsidR="008E2A69" w:rsidRPr="00542777" w:rsidRDefault="008E2A69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https://pubmed.ncbi.nlm.nih.gov/36016081/</w:t>
            </w:r>
          </w:p>
        </w:tc>
        <w:tc>
          <w:tcPr>
            <w:tcW w:w="160" w:type="dxa"/>
            <w:gridSpan w:val="2"/>
            <w:vAlign w:val="center"/>
          </w:tcPr>
          <w:p w14:paraId="08E2FED8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DF38CB" w:rsidRPr="00542777" w14:paraId="422FC058" w14:textId="77777777" w:rsidTr="004674B1">
        <w:trPr>
          <w:gridBefore w:val="1"/>
          <w:wBefore w:w="10" w:type="dxa"/>
          <w:trHeight w:val="1515"/>
        </w:trPr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F7D804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526DB1C" w14:textId="77777777" w:rsidR="00DF38CB" w:rsidRPr="00542777" w:rsidRDefault="00DF38CB" w:rsidP="004674B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format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bibliographic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record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if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not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publicly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accessible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catalogue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B089D9" w14:textId="4DB0F0DD" w:rsidR="00DF38CB" w:rsidRPr="00542777" w:rsidRDefault="008E2A69" w:rsidP="004674B1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Porru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Stefano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Maria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Grazia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Lourdes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Monaco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Gianluca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Spiteri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Angela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Carta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Maria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Diletta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Pezzani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Giuseppe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Lippi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Davide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Gibellini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Evelina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Tacconelli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Ilaria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Dalla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Vecchia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Emma Sala, and et al. 2022. "SARS-CoV-2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Breakthrough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Infections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Incidence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and Risk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Factors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Large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European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Multicentric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Cohort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Health </w:t>
            </w:r>
            <w:proofErr w:type="spellStart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Workers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" </w:t>
            </w:r>
            <w:proofErr w:type="spellStart"/>
            <w:r w:rsidRPr="008E2A69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Vaccines</w:t>
            </w:r>
            <w:proofErr w:type="spellEnd"/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 10, no. 8: 1193. https://doi.org/10.3390/vaccines10081193</w:t>
            </w:r>
          </w:p>
        </w:tc>
        <w:tc>
          <w:tcPr>
            <w:tcW w:w="160" w:type="dxa"/>
            <w:gridSpan w:val="2"/>
            <w:vAlign w:val="center"/>
          </w:tcPr>
          <w:p w14:paraId="55A55160" w14:textId="77777777" w:rsidR="00DF38CB" w:rsidRPr="00542777" w:rsidRDefault="00DF38CB" w:rsidP="004674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8E2A69" w:rsidRPr="00542777" w14:paraId="5E23652B" w14:textId="77777777" w:rsidTr="004674B1">
        <w:trPr>
          <w:gridBefore w:val="1"/>
          <w:wBefore w:w="10" w:type="dxa"/>
          <w:trHeight w:val="1290"/>
        </w:trPr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F2BC19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26D38A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15" w:anchor="Expl.OCA12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if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is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not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in CRPA or CRAA)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br/>
              </w:r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Choice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from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see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for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8E2169" w14:textId="02AF6692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eastAsia="Liberation Serif" w:cstheme="minorHAnsi"/>
                <w:color w:val="000000" w:themeColor="text1"/>
                <w:sz w:val="16"/>
                <w:szCs w:val="16"/>
                <w:lang w:eastAsia="sk-SK"/>
              </w:rPr>
              <w:t>A+, V3  Vedecký výstup /</w:t>
            </w:r>
            <w:r w:rsidRPr="00542777">
              <w:rPr>
                <w:rFonts w:eastAsia="Liberation Serif" w:cstheme="minorHAnsi"/>
                <w:color w:val="000000" w:themeColor="text1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542777">
              <w:rPr>
                <w:rFonts w:eastAsia="Liberation Serif" w:cstheme="minorHAnsi"/>
                <w:color w:val="000000" w:themeColor="text1"/>
                <w:sz w:val="16"/>
                <w:szCs w:val="16"/>
                <w:lang w:eastAsia="sk-SK"/>
              </w:rPr>
              <w:t>scientific</w:t>
            </w:r>
            <w:proofErr w:type="spellEnd"/>
            <w:r w:rsidRPr="00542777">
              <w:rPr>
                <w:rFonts w:eastAsia="Liberation Serif" w:cstheme="minorHAnsi"/>
                <w:color w:val="000000" w:themeColor="text1"/>
                <w:sz w:val="16"/>
                <w:szCs w:val="16"/>
                <w:lang w:eastAsia="sk-SK"/>
              </w:rPr>
              <w:t xml:space="preserve"> output  </w:t>
            </w:r>
          </w:p>
        </w:tc>
        <w:tc>
          <w:tcPr>
            <w:tcW w:w="160" w:type="dxa"/>
            <w:gridSpan w:val="2"/>
            <w:vAlign w:val="center"/>
          </w:tcPr>
          <w:p w14:paraId="62A48F89" w14:textId="77777777" w:rsidR="008E2A69" w:rsidRPr="00542777" w:rsidRDefault="008E2A69" w:rsidP="008E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8E2A69" w:rsidRPr="00542777" w14:paraId="14839BC1" w14:textId="77777777" w:rsidTr="004674B1">
        <w:trPr>
          <w:gridBefore w:val="1"/>
          <w:wBefore w:w="10" w:type="dxa"/>
          <w:trHeight w:val="1110"/>
        </w:trPr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CF9C4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4369132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Hyperlink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webpage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where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available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full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other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documentation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B3335E" w14:textId="77777777" w:rsidR="008E2A69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88078F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https://www.ncbi.nlm.nih.gov/pmc/articles/PMC9864312/pdf/jcm-12-00628.pdf</w:t>
            </w:r>
          </w:p>
          <w:p w14:paraId="0F4C16EA" w14:textId="77777777" w:rsidR="008E2A69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  <w:p w14:paraId="2EC8BB79" w14:textId="77777777" w:rsidR="008E2A69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  <w:p w14:paraId="2C6CFF76" w14:textId="4F3C6884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8E2A69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https://www.mdpi.com/2076-393X/10/8/1193</w:t>
            </w:r>
          </w:p>
        </w:tc>
        <w:tc>
          <w:tcPr>
            <w:tcW w:w="160" w:type="dxa"/>
            <w:gridSpan w:val="2"/>
            <w:vAlign w:val="center"/>
          </w:tcPr>
          <w:p w14:paraId="6C91129A" w14:textId="77777777" w:rsidR="008E2A69" w:rsidRPr="00542777" w:rsidRDefault="008E2A69" w:rsidP="008E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8E2A69" w:rsidRPr="00542777" w14:paraId="2105C08D" w14:textId="77777777" w:rsidTr="004674B1">
        <w:trPr>
          <w:gridBefore w:val="1"/>
          <w:wBefore w:w="10" w:type="dxa"/>
          <w:trHeight w:val="765"/>
        </w:trPr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FAEDB1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07D6A15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author's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5B65BF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Člen pracovnej skupiny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/ ORCHESTRA WP5 WORKONG GROUP</w:t>
            </w: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 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1,375%</w:t>
            </w:r>
          </w:p>
        </w:tc>
        <w:tc>
          <w:tcPr>
            <w:tcW w:w="160" w:type="dxa"/>
            <w:gridSpan w:val="2"/>
            <w:vAlign w:val="center"/>
          </w:tcPr>
          <w:p w14:paraId="6B5B1A1D" w14:textId="77777777" w:rsidR="008E2A69" w:rsidRPr="00542777" w:rsidRDefault="008E2A69" w:rsidP="008E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8E2A69" w:rsidRPr="00542777" w14:paraId="76473301" w14:textId="77777777" w:rsidTr="004674B1">
        <w:trPr>
          <w:gridBefore w:val="1"/>
          <w:wBefore w:w="10" w:type="dxa"/>
          <w:trHeight w:val="1405"/>
        </w:trPr>
        <w:tc>
          <w:tcPr>
            <w:tcW w:w="56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B897FE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8ABE302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with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/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other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, etc.  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Slovak</w:t>
              </w:r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97B1FC" w14:textId="0A09CA91" w:rsidR="00D739FC" w:rsidRPr="00D739FC" w:rsidRDefault="00D739FC" w:rsidP="00D739F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Cieľom výskumu bolo preskúmať výskyt prelomových infekcií SARS-CoV-2 a ich determinantov vo veľkej európskej kohorte viac ako 60 000 zdravotníckych pracovníkov.</w:t>
            </w:r>
          </w:p>
          <w:p w14:paraId="55E86830" w14:textId="77777777" w:rsidR="008E2A69" w:rsidRDefault="00D739FC" w:rsidP="00D739F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Metódy: V rámci projektu ORCHESTRA bola realizovaná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multicentrická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retrospektívna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kohortová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štúdia, do ktorej bolo zapojených 12 európskych centier a zbierala sa do 18. novembra 2021 údaje o plne zaočkovaných zdravotníckych pracovníkoch. Kumulatívna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incidencia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prelomových infekcií SARS-CoV-2 bola skúmaná v súvislosti s pracovnými a sociálno-demografickými charakteristikami (vek, pohlavie, pracovná pozícia, predchádzajúca infekcia SARS-CoV-2, hladiny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titrov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protilátok a čas od ukončenia očkovacej kúry ).</w:t>
            </w:r>
          </w:p>
          <w:p w14:paraId="01420911" w14:textId="260F3D49" w:rsidR="00D739FC" w:rsidRPr="00D739FC" w:rsidRDefault="00D739FC" w:rsidP="00D739F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research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aimed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investigate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incidence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SARS-CoV-2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breakthrough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infections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their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determinants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large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European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cohort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more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than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60,000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health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workers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.</w:t>
            </w:r>
          </w:p>
          <w:p w14:paraId="56A083C2" w14:textId="5D627AD6" w:rsidR="00D739FC" w:rsidRPr="00542777" w:rsidRDefault="00D739FC" w:rsidP="00D739FC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Methods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: A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multicentric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retrospective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cohort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study,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involving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12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European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centers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was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carried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out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within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ORCHESTRA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project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collecting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data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to 18 November 2021 on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fully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vaccinated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health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workers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cumulative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incidence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SARS-CoV-2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breakthrough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infections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was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investigated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with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its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association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with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occupational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social-demographic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age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sex,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job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title,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previous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SARS-CoV-2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infection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antibody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titer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levels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time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from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vaccination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course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completion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).</w:t>
            </w:r>
          </w:p>
        </w:tc>
        <w:tc>
          <w:tcPr>
            <w:tcW w:w="160" w:type="dxa"/>
            <w:gridSpan w:val="2"/>
            <w:vAlign w:val="center"/>
          </w:tcPr>
          <w:p w14:paraId="66EB91DA" w14:textId="77777777" w:rsidR="008E2A69" w:rsidRPr="00542777" w:rsidRDefault="008E2A69" w:rsidP="008E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8E2A69" w:rsidRPr="00542777" w14:paraId="219F9953" w14:textId="77777777" w:rsidTr="004674B1">
        <w:trPr>
          <w:gridBefore w:val="1"/>
          <w:wBefore w:w="10" w:type="dxa"/>
          <w:trHeight w:val="915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47CB343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>the</w:t>
              </w:r>
              <w:proofErr w:type="spellEnd"/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t xml:space="preserve"> output in English 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Pr="00542777">
                <w:rPr>
                  <w:rFonts w:ascii="Calibri" w:eastAsia="Times New Roman" w:hAnsi="Calibri" w:cs="Calibri"/>
                  <w:color w:val="000000" w:themeColor="text1"/>
                  <w:sz w:val="16"/>
                  <w:szCs w:val="16"/>
                  <w:lang w:eastAsia="sk-SK"/>
                </w:rPr>
                <w:br w:type="page"/>
              </w:r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Range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up</w:t>
              </w:r>
              <w:proofErr w:type="spellEnd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Pr="00542777">
                <w:rPr>
                  <w:rFonts w:ascii="Calibri" w:eastAsia="Times New Roman" w:hAnsi="Calibri" w:cs="Calibri"/>
                  <w:i/>
                  <w:iCs/>
                  <w:color w:val="000000" w:themeColor="text1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F63049" w14:textId="0F1DE9F8" w:rsidR="008E2A69" w:rsidRPr="00542777" w:rsidRDefault="00D739FC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A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multicenter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retrospective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cohort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study of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HWs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including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workers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dedicated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clinical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well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technicians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administrative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workers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from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12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European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centers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involved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ORCHESTRA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project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was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performed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Data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were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collected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from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following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healthcare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settings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mainly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University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Hospital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places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Italy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(Bari, Bologna,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Brescia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Modena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Padova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Perugia,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Torino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Trieste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and Verona),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Romania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, Slovakia, and Spain (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Oviedo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).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This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followed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Strengthening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Reporting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Observational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Studies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Epidemiology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(STROBE)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reporting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guidelines</w:t>
            </w:r>
            <w:proofErr w:type="spellEnd"/>
          </w:p>
        </w:tc>
        <w:tc>
          <w:tcPr>
            <w:tcW w:w="160" w:type="dxa"/>
            <w:gridSpan w:val="2"/>
            <w:vAlign w:val="center"/>
          </w:tcPr>
          <w:p w14:paraId="37A720BC" w14:textId="77777777" w:rsidR="008E2A69" w:rsidRPr="00542777" w:rsidRDefault="008E2A69" w:rsidP="008E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8E2A69" w:rsidRPr="00542777" w14:paraId="659EB2DF" w14:textId="77777777" w:rsidTr="004674B1">
        <w:trPr>
          <w:gridBefore w:val="1"/>
          <w:wBefore w:w="10" w:type="dxa"/>
          <w:trHeight w:val="81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2C9D481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significant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citations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corresponding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output </w:t>
            </w: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br/>
            </w:r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3E22AC" w14:textId="77777777" w:rsidR="008E2A69" w:rsidRPr="008E2A69" w:rsidRDefault="008E2A69" w:rsidP="008E2A69">
            <w:pPr>
              <w:spacing w:after="0" w:line="240" w:lineRule="auto"/>
              <w:jc w:val="both"/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</w:pP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fldChar w:fldCharType="begin"/>
            </w: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instrText>HYPERLINK "https://doi.org/10.1007/s15010-024-02189-x" \t "_blank"</w:instrText>
            </w: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</w: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fldChar w:fldCharType="separate"/>
            </w:r>
          </w:p>
          <w:p w14:paraId="17C4E978" w14:textId="77777777" w:rsidR="008E2A69" w:rsidRPr="008E2A69" w:rsidRDefault="008E2A69" w:rsidP="008E2A69">
            <w:pPr>
              <w:spacing w:after="0" w:line="240" w:lineRule="auto"/>
              <w:jc w:val="both"/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Protective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role of SARS-CoV-2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anti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-S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IgG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against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breakthrough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infections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among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European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healthcare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workers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during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pre and post-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Omicron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surge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—ORCHESTRA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project</w:t>
            </w:r>
            <w:proofErr w:type="spellEnd"/>
          </w:p>
          <w:p w14:paraId="783D50EB" w14:textId="77777777" w:rsidR="008E2A69" w:rsidRPr="008E2A69" w:rsidRDefault="008E2A69" w:rsidP="008E2A69">
            <w:pPr>
              <w:spacing w:after="0" w:line="240" w:lineRule="auto"/>
              <w:jc w:val="both"/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  <w:t>Article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  <w:t xml:space="preserve"> in 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Infection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  <w:t> (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  <w:t>February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  <w:t xml:space="preserve"> 2024)</w:t>
            </w:r>
          </w:p>
          <w:p w14:paraId="63564DA4" w14:textId="77777777" w:rsidR="008E2A69" w:rsidRPr="008E2A69" w:rsidRDefault="008E2A69" w:rsidP="008E2A69">
            <w:pPr>
              <w:spacing w:after="0" w:line="240" w:lineRule="auto"/>
              <w:jc w:val="both"/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</w:pP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fldChar w:fldCharType="end"/>
            </w: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fldChar w:fldCharType="begin"/>
            </w: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instrText>HYPERLINK "https://doi.org/10.3389/fpubh.2023.1303183" \t "_blank"</w:instrText>
            </w: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</w: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fldChar w:fldCharType="separate"/>
            </w:r>
          </w:p>
          <w:p w14:paraId="00ED799A" w14:textId="77777777" w:rsidR="008E2A69" w:rsidRPr="008E2A69" w:rsidRDefault="008E2A69" w:rsidP="008E2A69">
            <w:pPr>
              <w:spacing w:after="0" w:line="240" w:lineRule="auto"/>
              <w:jc w:val="both"/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impact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of COVID-19 on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pulmonary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neurological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, and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cardiac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outcomes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: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evidence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from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a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Mendelian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randomization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study</w:t>
            </w:r>
          </w:p>
          <w:p w14:paraId="315EC770" w14:textId="77777777" w:rsidR="008E2A69" w:rsidRPr="008E2A69" w:rsidRDefault="008E2A69" w:rsidP="008E2A69">
            <w:pPr>
              <w:spacing w:after="0" w:line="240" w:lineRule="auto"/>
              <w:jc w:val="both"/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  <w:t>Article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  <w:t xml:space="preserve"> in 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Frontiers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Public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Health</w:t>
            </w:r>
            <w:r w:rsidRPr="008E2A69"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  <w:t> (December 2023)</w:t>
            </w:r>
          </w:p>
          <w:p w14:paraId="1C15D9E6" w14:textId="77777777" w:rsidR="008E2A69" w:rsidRPr="008E2A69" w:rsidRDefault="008E2A69" w:rsidP="008E2A69">
            <w:pPr>
              <w:spacing w:after="0" w:line="240" w:lineRule="auto"/>
              <w:jc w:val="both"/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</w:pP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fldChar w:fldCharType="end"/>
            </w: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fldChar w:fldCharType="begin"/>
            </w: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instrText>HYPERLINK "https://doi.org/10.3389/fpubh.2023.1250911" \t "_blank"</w:instrText>
            </w: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</w: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fldChar w:fldCharType="separate"/>
            </w:r>
          </w:p>
          <w:p w14:paraId="0D55131A" w14:textId="77777777" w:rsidR="008E2A69" w:rsidRPr="008E2A69" w:rsidRDefault="008E2A69" w:rsidP="008E2A69">
            <w:pPr>
              <w:spacing w:after="0" w:line="240" w:lineRule="auto"/>
              <w:jc w:val="both"/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impact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of SARS-CoV-2 on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healthcare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workers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of a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large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University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Hospital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Veneto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Region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: risk of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infection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clinical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presentation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relation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to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different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pandemic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phases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some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relevant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determinants</w:t>
            </w:r>
            <w:proofErr w:type="spellEnd"/>
          </w:p>
          <w:p w14:paraId="13CA93AB" w14:textId="77777777" w:rsidR="008E2A69" w:rsidRPr="008E2A69" w:rsidRDefault="008E2A69" w:rsidP="008E2A69">
            <w:pPr>
              <w:spacing w:after="0" w:line="240" w:lineRule="auto"/>
              <w:jc w:val="both"/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  <w:t>Article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  <w:t xml:space="preserve"> in 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Frontiers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>Public</w:t>
            </w:r>
            <w:proofErr w:type="spellEnd"/>
            <w:r w:rsidRPr="008E2A69">
              <w:rPr>
                <w:rStyle w:val="Hypertextovprepojenie"/>
                <w:rFonts w:ascii="Trebuchet MS" w:eastAsia="SimSun" w:hAnsi="Trebuchet MS" w:cs="Trebuchet MS"/>
                <w:b/>
                <w:bCs/>
                <w:sz w:val="14"/>
                <w:szCs w:val="14"/>
                <w:shd w:val="clear" w:color="auto" w:fill="FFFFFF"/>
                <w:lang w:eastAsia="sk-SK"/>
              </w:rPr>
              <w:t xml:space="preserve"> Health</w:t>
            </w:r>
            <w:r w:rsidRPr="008E2A69">
              <w:rPr>
                <w:rStyle w:val="Hypertextovprepojenie"/>
                <w:rFonts w:ascii="Trebuchet MS" w:eastAsia="SimSun" w:hAnsi="Trebuchet MS" w:cs="Trebuchet MS"/>
                <w:sz w:val="14"/>
                <w:szCs w:val="14"/>
                <w:shd w:val="clear" w:color="auto" w:fill="FFFFFF"/>
                <w:lang w:eastAsia="sk-SK"/>
              </w:rPr>
              <w:t> (November 2023)</w:t>
            </w:r>
          </w:p>
          <w:p w14:paraId="20532AF6" w14:textId="77777777" w:rsidR="008E2A69" w:rsidRDefault="008E2A69" w:rsidP="008E2A69">
            <w:pPr>
              <w:spacing w:after="0" w:line="240" w:lineRule="auto"/>
              <w:jc w:val="both"/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</w:pPr>
            <w:r w:rsidRPr="008E2A69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fldChar w:fldCharType="end"/>
            </w:r>
          </w:p>
          <w:p w14:paraId="494EE0C6" w14:textId="77777777" w:rsidR="00D739FC" w:rsidRPr="00D739FC" w:rsidRDefault="00D739FC" w:rsidP="00D739FC">
            <w:pPr>
              <w:spacing w:after="0" w:line="240" w:lineRule="auto"/>
              <w:jc w:val="both"/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</w:pPr>
            <w:hyperlink r:id="rId18" w:history="1"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SARS-CoV-2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Infections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, Re-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Infections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and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Clinical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Characteristics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: A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Two-Year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Retrospective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Study in a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Large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University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Hospital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Cohort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of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Vaccinated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Healthcare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Workers</w:t>
              </w:r>
              <w:proofErr w:type="spellEnd"/>
            </w:hyperlink>
          </w:p>
          <w:p w14:paraId="350CF834" w14:textId="26C524A8" w:rsidR="00D739FC" w:rsidRPr="00D739FC" w:rsidRDefault="00D739FC" w:rsidP="00D739FC">
            <w:pPr>
              <w:spacing w:after="0" w:line="240" w:lineRule="auto"/>
              <w:jc w:val="both"/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Luigi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De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Maria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Giuseppe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Delvecchio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Stefania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Sponselli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Francesco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Cafaro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Antonio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Caputi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Gianmarco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Giannelli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Pasquale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Stefanizzi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Francesco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Paolo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Bianchi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Angela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Stufano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Silvio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Tafuri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Piero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Lovreglio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Paolo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Boffetta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Luigi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Vimercati</w:t>
            </w:r>
            <w:proofErr w:type="spellEnd"/>
            <w:r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2023, 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Journal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Clinical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Medicine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 - 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Article</w:t>
            </w:r>
            <w:proofErr w:type="spellEnd"/>
          </w:p>
          <w:p w14:paraId="73CFBF3C" w14:textId="77777777" w:rsidR="00D739FC" w:rsidRDefault="00D739FC" w:rsidP="00D739FC">
            <w:pPr>
              <w:spacing w:after="0" w:line="240" w:lineRule="auto"/>
              <w:jc w:val="both"/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</w:pPr>
          </w:p>
          <w:p w14:paraId="42643955" w14:textId="741C1147" w:rsidR="00D739FC" w:rsidRPr="00D739FC" w:rsidRDefault="00D739FC" w:rsidP="00D739FC">
            <w:pPr>
              <w:spacing w:after="0" w:line="240" w:lineRule="auto"/>
              <w:jc w:val="both"/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</w:pPr>
            <w:hyperlink r:id="rId19" w:history="1"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Determinants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of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compliance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to influenza and COVID-19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vaccination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in a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cohort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of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solid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organ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transplant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patients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in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Puglia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, Southern </w:t>
              </w:r>
              <w:proofErr w:type="spellStart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>Italy</w:t>
              </w:r>
              <w:proofErr w:type="spellEnd"/>
              <w:r w:rsidRPr="00D739FC">
                <w:rPr>
                  <w:rStyle w:val="Hypertextovprepojenie"/>
                  <w:rFonts w:ascii="Trebuchet MS" w:eastAsia="SimSun" w:hAnsi="Trebuchet MS" w:cs="Trebuchet MS"/>
                  <w:sz w:val="14"/>
                  <w:szCs w:val="14"/>
                  <w:shd w:val="clear" w:color="auto" w:fill="FFFFFF"/>
                  <w:lang w:eastAsia="sk-SK"/>
                </w:rPr>
                <w:t xml:space="preserve"> (2017–2022)</w:t>
              </w:r>
            </w:hyperlink>
          </w:p>
          <w:p w14:paraId="19F84D12" w14:textId="77777777" w:rsidR="00D739FC" w:rsidRPr="00D739FC" w:rsidRDefault="00D739FC" w:rsidP="00D739FC">
            <w:pPr>
              <w:spacing w:after="0" w:line="240" w:lineRule="auto"/>
              <w:jc w:val="both"/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</w:pP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Pasquale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Stefanizzi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Francesco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Paolo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Bianchi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Lorenza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Moscara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Andrea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Martinelli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Antonio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Di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Lorenzo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Loreto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Gesualdo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Simona Simone,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Maria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Rendina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, Silvio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Tafuri</w:t>
            </w:r>
            <w:proofErr w:type="spellEnd"/>
          </w:p>
          <w:p w14:paraId="65B16130" w14:textId="77777777" w:rsidR="00D739FC" w:rsidRPr="00D739FC" w:rsidRDefault="00D739FC" w:rsidP="00D739FC">
            <w:pPr>
              <w:spacing w:after="0" w:line="240" w:lineRule="auto"/>
              <w:jc w:val="both"/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</w:pPr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2023, 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Human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Vaccines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 xml:space="preserve"> &amp; 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Immunotherapeutics</w:t>
            </w:r>
            <w:proofErr w:type="spellEnd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 - </w:t>
            </w:r>
            <w:proofErr w:type="spellStart"/>
            <w:r w:rsidRPr="00D739FC"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  <w:t>Article</w:t>
            </w:r>
            <w:proofErr w:type="spellEnd"/>
          </w:p>
          <w:p w14:paraId="7CF8B617" w14:textId="5D8FC054" w:rsidR="00D739FC" w:rsidRPr="00542777" w:rsidRDefault="00D739FC" w:rsidP="008E2A69">
            <w:pPr>
              <w:spacing w:after="0" w:line="240" w:lineRule="auto"/>
              <w:jc w:val="both"/>
              <w:rPr>
                <w:rFonts w:ascii="Trebuchet MS" w:eastAsia="SimSun" w:hAnsi="Trebuchet MS" w:cs="Trebuchet MS"/>
                <w:color w:val="000000" w:themeColor="text1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gridSpan w:val="2"/>
            <w:vAlign w:val="center"/>
          </w:tcPr>
          <w:p w14:paraId="6C6E7C2D" w14:textId="77777777" w:rsidR="008E2A69" w:rsidRPr="00542777" w:rsidRDefault="008E2A69" w:rsidP="008E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8E2A69" w:rsidRPr="00542777" w14:paraId="0EF1721E" w14:textId="77777777" w:rsidTr="004674B1">
        <w:trPr>
          <w:gridBefore w:val="1"/>
          <w:wBefore w:w="10" w:type="dxa"/>
          <w:trHeight w:val="117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440FDD7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output's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impact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socio-economic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practice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br/>
            </w:r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Slovak</w:t>
            </w:r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F1C7F5" w14:textId="30F0004C" w:rsidR="00BE35D8" w:rsidRPr="00BE35D8" w:rsidRDefault="00D739FC" w:rsidP="00BE35D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Inverzná korelácia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titra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protilátok s rizikom prelomovej infekcie podporuje dôkaz, že očkovanie zohráva primárnu úlohu v prevencii infekcií, najmä u zdravotníckych pracovníkov. Bunková imunita, predchádzajúce klinické stavy a načasovanie očkovania by sa mali ďalej skúmať.</w:t>
            </w:r>
            <w:r w:rsidR="00BE35D8">
              <w:t xml:space="preserve"> </w:t>
            </w:r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Táto štúdia potvrdila, že infekcie SARS-CoV-2 sa môžu vyskytnúť aj po úplnom očkovacom cykle; klinický priebeh je však priaznivý a závažné výsledky sú </w:t>
            </w:r>
            <w:r w:rsid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však </w:t>
            </w:r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znížené.</w:t>
            </w:r>
          </w:p>
          <w:p w14:paraId="26482600" w14:textId="129B0915" w:rsidR="00BE35D8" w:rsidRPr="00BE35D8" w:rsidRDefault="00BE35D8" w:rsidP="00BE35D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Mierna frekvencia COVID-19 (9,7 %) bola u zaočkovaných zdravotníckych pracovníkov, z ktorých väčšina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bol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</w:t>
            </w: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symptomatick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á</w:t>
            </w: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(88 %). Všetky prípady</w:t>
            </w:r>
          </w:p>
          <w:p w14:paraId="1CB3E396" w14:textId="2F22A493" w:rsidR="008E2A69" w:rsidRDefault="00BE35D8" w:rsidP="00BE35D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symptomatickej BI v čase opätovného prijatia do práce vykazovali progresívne vymiznutie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symptómov v nasledujúcich dňoch, takže žiadne prípady dlhodobého COVID a žiadne hospitalizácie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ani úmrtia. </w:t>
            </w: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Zdá sa, že očkovanie BNT162b2 poskytuje ochranu pred ťažkým ochorením, ale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zistenia vyvolávajú obavy z nižšej ochrany poskytovanej v súvislosti s prenosom. T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ento fakt</w:t>
            </w: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zdôrazňuje potrebu pokračujúcich ochranných opatrení, aby sa zabránilo šíreniu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</w:t>
            </w: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nfekci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</w:t>
            </w: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SARS-CoV-2 v nemocničnom prostredí.</w:t>
            </w:r>
          </w:p>
          <w:p w14:paraId="0110A2AF" w14:textId="43A9A69A" w:rsidR="00BE35D8" w:rsidRPr="00BE35D8" w:rsidRDefault="00D739FC" w:rsidP="00BE35D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inverse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correlation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antibody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titer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with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risk of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breakthrough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infection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supports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evidence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vaccination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plays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primary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role in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infection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prevention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especially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health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workers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Cellular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immunity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previous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clinical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conditions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vaccination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timing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should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be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further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investigated</w:t>
            </w:r>
            <w:proofErr w:type="spellEnd"/>
            <w:r w:rsidRPr="00D739FC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.</w:t>
            </w:r>
            <w:r w:rsid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This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confirmed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that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SARS-CoV-2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infections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can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occur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even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after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full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vaccination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course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;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however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clinical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course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is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favorable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and severe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outcomes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reduced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.</w:t>
            </w:r>
            <w:r w:rsid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There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was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moderate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frequency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COVID-19 (9.7%) in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vaccinated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Healthcareworkers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most of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which</w:t>
            </w:r>
            <w:proofErr w:type="spellEnd"/>
            <w:r w:rsid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were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symptomatic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(88%). 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All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cases</w:t>
            </w:r>
            <w:proofErr w:type="spellEnd"/>
            <w:r w:rsid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symptomatic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BI at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time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readmission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work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showed</w:t>
            </w:r>
            <w:proofErr w:type="spellEnd"/>
            <w:r w:rsid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progressive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disappearance</w:t>
            </w:r>
            <w:proofErr w:type="spellEnd"/>
            <w:r w:rsid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symptoms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following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days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so no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cases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lastRenderedPageBreak/>
              <w:t>long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-COVID and no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hospitalizations</w:t>
            </w:r>
            <w:proofErr w:type="spellEnd"/>
            <w:r w:rsid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or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deaths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were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recorded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Female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HCWs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nurses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were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significantly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more </w:t>
            </w:r>
            <w:proofErr w:type="spellStart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affected</w:t>
            </w:r>
            <w:proofErr w:type="spellEnd"/>
            <w:r w:rsidR="00BE35D8"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by</w:t>
            </w:r>
          </w:p>
          <w:p w14:paraId="1F58DE6A" w14:textId="1A874B09" w:rsidR="00D739FC" w:rsidRPr="00542777" w:rsidRDefault="00BE35D8" w:rsidP="00BE35D8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BIs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BNT162b2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vaccination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seemed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provide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protection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from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severe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disease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but</w:t>
            </w:r>
            <w:proofErr w:type="spellEnd"/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findings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raise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concerns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about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lower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protection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provided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regarding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transmission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This</w:t>
            </w:r>
            <w:proofErr w:type="spellEnd"/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weakness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highlights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need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continuing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protective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measures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prevent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spread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</w:t>
            </w: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SARS-CoV-2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infection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hospital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settings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gridSpan w:val="2"/>
            <w:vAlign w:val="center"/>
          </w:tcPr>
          <w:p w14:paraId="2F59467A" w14:textId="77777777" w:rsidR="008E2A69" w:rsidRPr="00542777" w:rsidRDefault="008E2A69" w:rsidP="008E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  <w:tr w:rsidR="008E2A69" w:rsidRPr="00542777" w14:paraId="2C5D2E0E" w14:textId="77777777" w:rsidTr="004674B1">
        <w:trPr>
          <w:gridBefore w:val="1"/>
          <w:wBefore w:w="10" w:type="dxa"/>
          <w:trHeight w:val="1290"/>
        </w:trPr>
        <w:tc>
          <w:tcPr>
            <w:tcW w:w="53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FB39A6D" w14:textId="77777777" w:rsidR="008E2A69" w:rsidRPr="00542777" w:rsidRDefault="008E2A69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Characteristics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related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activities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impact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educational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process</w:t>
            </w:r>
            <w:proofErr w:type="spellEnd"/>
            <w:r w:rsidRPr="00542777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br/>
            </w:r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Slovak</w:t>
            </w:r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Range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up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>words</w:t>
            </w:r>
            <w:proofErr w:type="spellEnd"/>
            <w:r w:rsidRPr="00542777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C479F9" w14:textId="77777777" w:rsidR="008E2A69" w:rsidRDefault="00BE35D8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Štúdia preukázala význam očkovania aj v prípadoch objavenia sa nákazy u očkovanej populácie, najmä z dôvodu ľahšieho priebehu a nízkej úmrtnosti, a to aj napriek častejšiemu výskytu. Opäť sa potvrdil význam edukácie laickej aj odbornej verejnosti o potrebe ochrany pred nákazou a význame očkovania.</w:t>
            </w:r>
          </w:p>
          <w:p w14:paraId="143A2435" w14:textId="50CA04E0" w:rsidR="00BE35D8" w:rsidRPr="00542777" w:rsidRDefault="00BE35D8" w:rsidP="008E2A69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/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demonstrated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importance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vaccination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even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cases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appearance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disease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vaccinated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population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mainly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because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easier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course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low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mortality,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despite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more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frequent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occurrence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Once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again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importance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educating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lay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professional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public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about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need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for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protection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against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infection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the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importance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vaccination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was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confirmed</w:t>
            </w:r>
            <w:proofErr w:type="spellEnd"/>
            <w:r w:rsidRPr="00BE35D8">
              <w:rPr>
                <w:rFonts w:ascii="Calibri" w:eastAsia="Times New Roman" w:hAnsi="Calibri" w:cs="Calibri"/>
                <w:color w:val="000000" w:themeColor="text1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gridSpan w:val="2"/>
            <w:vAlign w:val="center"/>
          </w:tcPr>
          <w:p w14:paraId="158BB9A2" w14:textId="77777777" w:rsidR="008E2A69" w:rsidRPr="00542777" w:rsidRDefault="008E2A69" w:rsidP="008E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sk-SK"/>
              </w:rPr>
            </w:pPr>
          </w:p>
        </w:tc>
      </w:tr>
    </w:tbl>
    <w:p w14:paraId="0DBC9D64" w14:textId="77777777" w:rsidR="00DF38CB" w:rsidRPr="00542777" w:rsidRDefault="00DF38CB" w:rsidP="00DF38CB">
      <w:pPr>
        <w:rPr>
          <w:color w:val="000000" w:themeColor="text1"/>
        </w:rPr>
      </w:pPr>
    </w:p>
    <w:p w14:paraId="17EEB1B0" w14:textId="77777777" w:rsidR="00DF38CB" w:rsidRPr="00542777" w:rsidRDefault="00DF38CB" w:rsidP="00DF38CB">
      <w:pPr>
        <w:rPr>
          <w:color w:val="000000" w:themeColor="text1"/>
        </w:rPr>
      </w:pPr>
    </w:p>
    <w:p w14:paraId="3B2374CB" w14:textId="77777777" w:rsidR="00DF38CB" w:rsidRPr="00542777" w:rsidRDefault="00DF38CB" w:rsidP="00DF38CB">
      <w:pPr>
        <w:rPr>
          <w:color w:val="000000" w:themeColor="text1"/>
        </w:rPr>
      </w:pPr>
    </w:p>
    <w:p w14:paraId="5A447100" w14:textId="77777777" w:rsidR="00030132" w:rsidRDefault="00030132"/>
    <w:sectPr w:rsidR="00030132" w:rsidSect="00F62A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CB"/>
    <w:rsid w:val="00030132"/>
    <w:rsid w:val="008E2A69"/>
    <w:rsid w:val="00AF7421"/>
    <w:rsid w:val="00BE35D8"/>
    <w:rsid w:val="00D739FC"/>
    <w:rsid w:val="00DF38CB"/>
    <w:rsid w:val="00F6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83E56"/>
  <w15:chartTrackingRefBased/>
  <w15:docId w15:val="{799A7A1A-CB17-4BA0-B96A-1ECCE61E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F38CB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F38CB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8E2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6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309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69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329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443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73912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app.dimensions.ai/details/publication/pub.1165303446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app.dimensions.ai/details/publication/pub.1164948793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s://www.ncbi.nlm.nih.gov/pmc/articles/PMC9864312/pdf/jcm-12-00628.pdf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1999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Mrazova</dc:creator>
  <cp:keywords/>
  <dc:description/>
  <cp:lastModifiedBy>Mariana Mrazova</cp:lastModifiedBy>
  <cp:revision>1</cp:revision>
  <dcterms:created xsi:type="dcterms:W3CDTF">2024-04-11T10:34:00Z</dcterms:created>
  <dcterms:modified xsi:type="dcterms:W3CDTF">2024-04-11T11:17:00Z</dcterms:modified>
</cp:coreProperties>
</file>